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25B" w:rsidRPr="00D63F58" w:rsidRDefault="00D63F58">
      <w:pPr>
        <w:pStyle w:val="TableParagraph"/>
        <w:jc w:val="center"/>
        <w:rPr>
          <w:b/>
          <w:sz w:val="24"/>
          <w:szCs w:val="24"/>
          <w:lang w:val="kk-KZ" w:eastAsia="ru-RU"/>
        </w:rPr>
      </w:pPr>
      <w:r w:rsidRPr="00D63F58">
        <w:rPr>
          <w:b/>
          <w:sz w:val="24"/>
          <w:szCs w:val="24"/>
          <w:lang w:val="kk-KZ"/>
        </w:rPr>
        <w:t xml:space="preserve">Анализ анкетирования </w:t>
      </w:r>
      <w:r w:rsidR="007F2A9E" w:rsidRPr="00D63F58">
        <w:rPr>
          <w:b/>
          <w:sz w:val="24"/>
          <w:szCs w:val="24"/>
          <w:lang w:val="kk-KZ"/>
        </w:rPr>
        <w:t>«Удовлетворенность выпускников обучением в вузе»</w:t>
      </w:r>
    </w:p>
    <w:p w:rsidR="00DC325B" w:rsidRDefault="00DC325B">
      <w:pPr>
        <w:pStyle w:val="TableParagraph"/>
        <w:jc w:val="center"/>
        <w:rPr>
          <w:sz w:val="24"/>
          <w:szCs w:val="24"/>
          <w:lang w:val="kk-KZ"/>
        </w:rPr>
      </w:pPr>
    </w:p>
    <w:p w:rsidR="00DC325B" w:rsidRDefault="00DC325B">
      <w:pPr>
        <w:pStyle w:val="TableParagraph"/>
        <w:ind w:firstLine="709"/>
        <w:jc w:val="both"/>
        <w:rPr>
          <w:rFonts w:eastAsia="Batang"/>
          <w:sz w:val="24"/>
          <w:szCs w:val="24"/>
        </w:rPr>
      </w:pPr>
    </w:p>
    <w:p w:rsidR="00DC325B" w:rsidRDefault="007F2A9E">
      <w:pPr>
        <w:pStyle w:val="TableParagraph"/>
        <w:ind w:firstLine="709"/>
        <w:jc w:val="both"/>
        <w:rPr>
          <w:rFonts w:eastAsia="Batang"/>
          <w:bCs/>
          <w:color w:val="000000"/>
          <w:sz w:val="24"/>
          <w:szCs w:val="24"/>
          <w:lang w:val="kk-KZ" w:eastAsia="ar-SA"/>
        </w:rPr>
      </w:pPr>
      <w:r>
        <w:rPr>
          <w:rFonts w:eastAsia="Batang"/>
          <w:sz w:val="24"/>
          <w:szCs w:val="24"/>
        </w:rPr>
        <w:t xml:space="preserve">Период анкетирования: согласно </w:t>
      </w:r>
      <w:r>
        <w:rPr>
          <w:sz w:val="24"/>
          <w:szCs w:val="24"/>
        </w:rPr>
        <w:t xml:space="preserve">Положению об анкетировании в университете Мирас, опрос проводился в </w:t>
      </w:r>
      <w:r>
        <w:rPr>
          <w:rFonts w:eastAsia="Batang"/>
          <w:sz w:val="24"/>
          <w:szCs w:val="24"/>
        </w:rPr>
        <w:t>апреле 202</w:t>
      </w:r>
      <w:r w:rsidRPr="00D63F58">
        <w:rPr>
          <w:rFonts w:eastAsia="Batang"/>
          <w:sz w:val="24"/>
          <w:szCs w:val="24"/>
        </w:rPr>
        <w:t>5</w:t>
      </w:r>
      <w:r>
        <w:rPr>
          <w:rFonts w:eastAsia="Batang"/>
          <w:sz w:val="24"/>
          <w:szCs w:val="24"/>
        </w:rPr>
        <w:t xml:space="preserve"> года. Объектами исследования выступили выпускники</w:t>
      </w:r>
      <w:r>
        <w:rPr>
          <w:sz w:val="24"/>
          <w:szCs w:val="24"/>
        </w:rPr>
        <w:t xml:space="preserve"> п</w:t>
      </w:r>
      <w:r>
        <w:rPr>
          <w:rFonts w:eastAsia="Batang"/>
          <w:sz w:val="24"/>
          <w:szCs w:val="24"/>
        </w:rPr>
        <w:t>рошлых лет и ожидаемый выпуск.</w:t>
      </w:r>
      <w:r>
        <w:rPr>
          <w:rFonts w:eastAsia="Batang"/>
          <w:bCs/>
          <w:color w:val="000000"/>
          <w:sz w:val="24"/>
          <w:szCs w:val="24"/>
          <w:lang w:eastAsia="ar-SA"/>
        </w:rPr>
        <w:t xml:space="preserve"> </w:t>
      </w:r>
    </w:p>
    <w:p w:rsidR="00DC325B" w:rsidRDefault="00DC325B">
      <w:pPr>
        <w:pStyle w:val="TableParagraph"/>
        <w:ind w:firstLine="709"/>
        <w:jc w:val="both"/>
        <w:rPr>
          <w:rFonts w:eastAsia="Batang"/>
          <w:bCs/>
          <w:color w:val="000000"/>
          <w:sz w:val="24"/>
          <w:szCs w:val="24"/>
          <w:lang w:val="kk-KZ" w:eastAsia="ar-SA"/>
        </w:rPr>
      </w:pPr>
    </w:p>
    <w:p w:rsidR="00DC325B" w:rsidRDefault="007F2A9E">
      <w:pPr>
        <w:pStyle w:val="TableParagraph"/>
        <w:ind w:firstLine="709"/>
        <w:jc w:val="both"/>
        <w:rPr>
          <w:rFonts w:eastAsia="Batang"/>
          <w:bCs/>
          <w:color w:val="000000"/>
          <w:sz w:val="24"/>
          <w:szCs w:val="24"/>
          <w:lang w:eastAsia="ar-SA"/>
        </w:rPr>
      </w:pPr>
      <w:r>
        <w:rPr>
          <w:sz w:val="24"/>
          <w:szCs w:val="24"/>
        </w:rPr>
        <w:t xml:space="preserve">Количество респондентов, принявших участие в исследовании, составило </w:t>
      </w:r>
      <w:r w:rsidRPr="00D63F58">
        <w:rPr>
          <w:bCs/>
          <w:sz w:val="24"/>
          <w:szCs w:val="24"/>
        </w:rPr>
        <w:t>13</w:t>
      </w:r>
      <w:r>
        <w:rPr>
          <w:bCs/>
          <w:sz w:val="24"/>
          <w:szCs w:val="24"/>
        </w:rPr>
        <w:t>0</w:t>
      </w:r>
      <w:r>
        <w:rPr>
          <w:sz w:val="24"/>
          <w:szCs w:val="24"/>
        </w:rPr>
        <w:t xml:space="preserve"> чел., из них:</w:t>
      </w:r>
    </w:p>
    <w:p w:rsidR="00DC325B" w:rsidRDefault="00DC325B">
      <w:pPr>
        <w:pStyle w:val="TableParagraph"/>
        <w:ind w:firstLine="142"/>
        <w:jc w:val="center"/>
        <w:rPr>
          <w:lang w:eastAsia="ru-RU"/>
        </w:rPr>
      </w:pPr>
    </w:p>
    <w:p w:rsidR="00DC325B" w:rsidRDefault="00DC325B">
      <w:pPr>
        <w:pStyle w:val="TableParagraph"/>
        <w:ind w:firstLine="142"/>
        <w:jc w:val="center"/>
        <w:rPr>
          <w:lang w:eastAsia="ru-RU"/>
        </w:rPr>
      </w:pPr>
    </w:p>
    <w:p w:rsidR="00DC325B" w:rsidRDefault="007F2A9E">
      <w:pPr>
        <w:pStyle w:val="TableParagraph"/>
        <w:numPr>
          <w:ilvl w:val="0"/>
          <w:numId w:val="1"/>
        </w:num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Бакалавриат -321 человек,  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Магистратура-18 человек</w:t>
      </w:r>
    </w:p>
    <w:p w:rsidR="00DC325B" w:rsidRDefault="007F2A9E">
      <w:pPr>
        <w:pStyle w:val="TableParagraph"/>
        <w:numPr>
          <w:ilvl w:val="0"/>
          <w:numId w:val="1"/>
        </w:num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Бакалавриат -</w:t>
      </w:r>
      <w:r>
        <w:rPr>
          <w:b/>
          <w:bCs/>
          <w:sz w:val="32"/>
          <w:szCs w:val="32"/>
        </w:rPr>
        <w:t>108</w:t>
      </w:r>
      <w:r>
        <w:rPr>
          <w:b/>
          <w:bCs/>
          <w:sz w:val="32"/>
          <w:szCs w:val="32"/>
        </w:rPr>
        <w:t xml:space="preserve"> человек,  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Магистратура-</w:t>
      </w:r>
      <w:r>
        <w:rPr>
          <w:b/>
          <w:bCs/>
          <w:sz w:val="32"/>
          <w:szCs w:val="32"/>
        </w:rPr>
        <w:t>22</w:t>
      </w:r>
      <w:r>
        <w:rPr>
          <w:b/>
          <w:bCs/>
          <w:sz w:val="32"/>
          <w:szCs w:val="32"/>
        </w:rPr>
        <w:t xml:space="preserve"> человек</w:t>
      </w:r>
      <w:r>
        <w:rPr>
          <w:b/>
          <w:bCs/>
          <w:sz w:val="32"/>
          <w:szCs w:val="32"/>
        </w:rPr>
        <w:t>а</w:t>
      </w:r>
    </w:p>
    <w:p w:rsidR="00DC325B" w:rsidRDefault="00DC325B">
      <w:pPr>
        <w:pStyle w:val="TableParagraph"/>
        <w:jc w:val="both"/>
        <w:rPr>
          <w:lang w:val="en-US" w:eastAsia="ru-RU"/>
        </w:rPr>
      </w:pPr>
    </w:p>
    <w:p w:rsidR="00DC325B" w:rsidRDefault="00DC325B">
      <w:pPr>
        <w:pStyle w:val="TableParagraph"/>
        <w:ind w:firstLine="142"/>
        <w:jc w:val="center"/>
        <w:rPr>
          <w:lang w:val="en-US" w:eastAsia="ru-RU"/>
        </w:rPr>
      </w:pPr>
    </w:p>
    <w:p w:rsidR="00DC325B" w:rsidRDefault="007F2A9E">
      <w:pPr>
        <w:pStyle w:val="TableParagraph"/>
        <w:ind w:firstLine="142"/>
        <w:jc w:val="center"/>
        <w:rPr>
          <w:lang w:val="en-US" w:eastAsia="ru-RU"/>
        </w:rPr>
      </w:pPr>
      <w:r>
        <w:rPr>
          <w:noProof/>
          <w:lang w:eastAsia="ru-RU"/>
        </w:rPr>
        <w:drawing>
          <wp:inline distT="0" distB="0" distL="114300" distR="114300">
            <wp:extent cx="6449060" cy="3704590"/>
            <wp:effectExtent l="0" t="0" r="8890" b="10160"/>
            <wp:docPr id="6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49060" cy="370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325B" w:rsidRDefault="00DC325B">
      <w:pPr>
        <w:pStyle w:val="TableParagraph"/>
      </w:pPr>
    </w:p>
    <w:p w:rsidR="00DC325B" w:rsidRDefault="00DC325B">
      <w:pPr>
        <w:pStyle w:val="TableParagraph"/>
        <w:ind w:firstLine="709"/>
        <w:rPr>
          <w:lang w:val="kk-KZ"/>
        </w:rPr>
      </w:pPr>
    </w:p>
    <w:p w:rsidR="00DC325B" w:rsidRDefault="00DC325B">
      <w:pPr>
        <w:pStyle w:val="TableParagraph"/>
        <w:ind w:firstLine="709"/>
        <w:rPr>
          <w:lang w:val="kk-KZ"/>
        </w:rPr>
      </w:pPr>
    </w:p>
    <w:p w:rsidR="00DC325B" w:rsidRDefault="00DC325B">
      <w:pPr>
        <w:pStyle w:val="TableParagraph"/>
        <w:ind w:firstLine="709"/>
        <w:rPr>
          <w:lang w:val="kk-KZ"/>
        </w:rPr>
      </w:pPr>
    </w:p>
    <w:p w:rsidR="00DC325B" w:rsidRDefault="00DC325B">
      <w:pPr>
        <w:pStyle w:val="TableParagraph"/>
        <w:ind w:firstLine="709"/>
        <w:rPr>
          <w:lang w:val="kk-KZ"/>
        </w:rPr>
      </w:pPr>
    </w:p>
    <w:p w:rsidR="00DC325B" w:rsidRDefault="00DC325B">
      <w:pPr>
        <w:pStyle w:val="TableParagraph"/>
        <w:ind w:firstLine="709"/>
        <w:rPr>
          <w:lang w:val="kk-KZ"/>
        </w:rPr>
      </w:pPr>
    </w:p>
    <w:p w:rsidR="00DC325B" w:rsidRDefault="00DC325B">
      <w:pPr>
        <w:pStyle w:val="TableParagraph"/>
        <w:ind w:firstLine="709"/>
        <w:rPr>
          <w:lang w:val="kk-KZ"/>
        </w:rPr>
      </w:pPr>
    </w:p>
    <w:p w:rsidR="00DC325B" w:rsidRDefault="00DC325B">
      <w:pPr>
        <w:pStyle w:val="TableParagraph"/>
        <w:ind w:firstLine="709"/>
        <w:rPr>
          <w:lang w:val="kk-KZ"/>
        </w:rPr>
      </w:pPr>
    </w:p>
    <w:p w:rsidR="00DC325B" w:rsidRDefault="00DC325B">
      <w:pPr>
        <w:pStyle w:val="TableParagraph"/>
        <w:ind w:firstLine="709"/>
        <w:rPr>
          <w:lang w:val="kk-KZ"/>
        </w:rPr>
      </w:pPr>
    </w:p>
    <w:p w:rsidR="00DC325B" w:rsidRDefault="00DC325B">
      <w:pPr>
        <w:pStyle w:val="TableParagraph"/>
        <w:ind w:firstLine="709"/>
        <w:rPr>
          <w:lang w:val="kk-KZ"/>
        </w:rPr>
      </w:pPr>
    </w:p>
    <w:p w:rsidR="00DC325B" w:rsidRDefault="007F2A9E">
      <w:pPr>
        <w:pStyle w:val="TableParagraph"/>
        <w:ind w:firstLine="142"/>
        <w:jc w:val="center"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393565" cy="2576830"/>
            <wp:effectExtent l="4445" t="4445" r="21590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DC325B" w:rsidRDefault="00DC325B">
      <w:pPr>
        <w:pStyle w:val="TableParagraph"/>
        <w:ind w:firstLine="709"/>
        <w:rPr>
          <w:lang w:val="kk-KZ"/>
        </w:rPr>
      </w:pPr>
    </w:p>
    <w:p w:rsidR="00DC325B" w:rsidRDefault="00DC325B">
      <w:pPr>
        <w:pStyle w:val="TableParagraph"/>
        <w:ind w:firstLine="709"/>
        <w:rPr>
          <w:lang w:val="kk-KZ"/>
        </w:rPr>
      </w:pPr>
    </w:p>
    <w:p w:rsidR="00DC325B" w:rsidRDefault="00DC325B">
      <w:pPr>
        <w:pStyle w:val="TableParagraph"/>
        <w:ind w:firstLine="709"/>
        <w:rPr>
          <w:lang w:val="kk-KZ"/>
        </w:rPr>
      </w:pPr>
    </w:p>
    <w:p w:rsidR="00DC325B" w:rsidRDefault="007F2A9E">
      <w:pPr>
        <w:pStyle w:val="TableParagraph"/>
        <w:ind w:left="708" w:firstLine="709"/>
        <w:rPr>
          <w:sz w:val="24"/>
          <w:szCs w:val="24"/>
          <w:lang w:val="kk-KZ"/>
        </w:rPr>
      </w:pPr>
      <w:r>
        <w:rPr>
          <w:sz w:val="24"/>
          <w:szCs w:val="24"/>
        </w:rPr>
        <w:t>Кол-во опрошенных респондентов (в разрезе года выпуска) составило</w:t>
      </w:r>
      <w:r>
        <w:rPr>
          <w:sz w:val="24"/>
          <w:szCs w:val="24"/>
          <w:lang w:val="kk-KZ"/>
        </w:rPr>
        <w:t>:</w:t>
      </w:r>
    </w:p>
    <w:p w:rsidR="00DC325B" w:rsidRDefault="00DC325B">
      <w:pPr>
        <w:pStyle w:val="TableParagraph"/>
        <w:ind w:firstLine="709"/>
        <w:rPr>
          <w:sz w:val="24"/>
          <w:szCs w:val="24"/>
          <w:lang w:val="kk-KZ"/>
        </w:rPr>
      </w:pPr>
    </w:p>
    <w:p w:rsidR="00DC325B" w:rsidRDefault="007F2A9E">
      <w:pPr>
        <w:pStyle w:val="TableParagraph"/>
        <w:ind w:firstLine="709"/>
        <w:rPr>
          <w:sz w:val="24"/>
          <w:szCs w:val="24"/>
        </w:rPr>
      </w:pPr>
      <w:r>
        <w:rPr>
          <w:sz w:val="24"/>
          <w:szCs w:val="24"/>
        </w:rPr>
        <w:t>2024-55,3 %</w:t>
      </w:r>
    </w:p>
    <w:p w:rsidR="00DC325B" w:rsidRDefault="007F2A9E">
      <w:pPr>
        <w:pStyle w:val="TableParagraph"/>
        <w:ind w:firstLine="709"/>
        <w:rPr>
          <w:sz w:val="24"/>
          <w:szCs w:val="24"/>
        </w:rPr>
      </w:pPr>
      <w:r>
        <w:rPr>
          <w:sz w:val="24"/>
          <w:szCs w:val="24"/>
          <w:lang w:val="kk-KZ"/>
        </w:rPr>
        <w:t>2023-</w:t>
      </w:r>
      <w:r>
        <w:rPr>
          <w:sz w:val="24"/>
          <w:szCs w:val="24"/>
        </w:rPr>
        <w:t>15,3 %</w:t>
      </w:r>
    </w:p>
    <w:p w:rsidR="00DC325B" w:rsidRDefault="007F2A9E">
      <w:pPr>
        <w:pStyle w:val="TableParagraph"/>
        <w:ind w:firstLine="709"/>
        <w:rPr>
          <w:sz w:val="24"/>
          <w:szCs w:val="24"/>
        </w:rPr>
      </w:pPr>
      <w:r>
        <w:rPr>
          <w:sz w:val="24"/>
          <w:szCs w:val="24"/>
          <w:lang w:val="kk-KZ"/>
        </w:rPr>
        <w:t>2022-</w:t>
      </w:r>
      <w:r>
        <w:rPr>
          <w:sz w:val="24"/>
          <w:szCs w:val="24"/>
        </w:rPr>
        <w:t>2,3%</w:t>
      </w:r>
    </w:p>
    <w:p w:rsidR="00DC325B" w:rsidRDefault="007F2A9E">
      <w:pPr>
        <w:pStyle w:val="TableParagraph"/>
        <w:ind w:firstLine="709"/>
        <w:rPr>
          <w:sz w:val="24"/>
          <w:szCs w:val="24"/>
        </w:rPr>
      </w:pPr>
      <w:r>
        <w:rPr>
          <w:sz w:val="24"/>
          <w:szCs w:val="24"/>
          <w:lang w:val="kk-KZ"/>
        </w:rPr>
        <w:t>2020-</w:t>
      </w:r>
      <w:r>
        <w:rPr>
          <w:sz w:val="24"/>
          <w:szCs w:val="24"/>
        </w:rPr>
        <w:t>5,3 %</w:t>
      </w:r>
    </w:p>
    <w:p w:rsidR="00DC325B" w:rsidRDefault="007F2A9E">
      <w:pPr>
        <w:pStyle w:val="TableParagraph"/>
        <w:ind w:firstLine="709"/>
        <w:rPr>
          <w:sz w:val="24"/>
          <w:szCs w:val="24"/>
        </w:rPr>
      </w:pPr>
      <w:r>
        <w:rPr>
          <w:sz w:val="24"/>
          <w:szCs w:val="24"/>
        </w:rPr>
        <w:t>2019-1,5%</w:t>
      </w:r>
    </w:p>
    <w:p w:rsidR="00DC325B" w:rsidRDefault="007F2A9E">
      <w:pPr>
        <w:pStyle w:val="TableParagraph"/>
        <w:ind w:firstLine="709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Другое-</w:t>
      </w:r>
      <w:r>
        <w:rPr>
          <w:sz w:val="24"/>
          <w:szCs w:val="24"/>
        </w:rPr>
        <w:t>20.3%</w:t>
      </w:r>
    </w:p>
    <w:p w:rsidR="00DC325B" w:rsidRDefault="00DC325B">
      <w:pPr>
        <w:pStyle w:val="TableParagraph"/>
        <w:rPr>
          <w:sz w:val="24"/>
          <w:szCs w:val="24"/>
          <w:lang w:val="kk-KZ"/>
        </w:rPr>
      </w:pPr>
    </w:p>
    <w:p w:rsidR="00DC325B" w:rsidRDefault="00DC325B">
      <w:pPr>
        <w:pStyle w:val="TableParagraph"/>
      </w:pPr>
    </w:p>
    <w:p w:rsidR="00DC325B" w:rsidRDefault="007F2A9E">
      <w:pPr>
        <w:pStyle w:val="TableParagraph"/>
      </w:pPr>
      <w:r>
        <w:rPr>
          <w:noProof/>
          <w:lang w:eastAsia="ru-RU"/>
        </w:rPr>
        <w:drawing>
          <wp:inline distT="0" distB="0" distL="114300" distR="114300">
            <wp:extent cx="5628640" cy="4600575"/>
            <wp:effectExtent l="0" t="0" r="10160" b="9525"/>
            <wp:docPr id="7" name="Изобра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Изображение 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28640" cy="460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C325B">
      <w:pgSz w:w="11910" w:h="16840"/>
      <w:pgMar w:top="1134" w:right="1137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2A9E" w:rsidRDefault="007F2A9E">
      <w:pPr>
        <w:spacing w:line="240" w:lineRule="auto"/>
      </w:pPr>
      <w:r>
        <w:separator/>
      </w:r>
    </w:p>
  </w:endnote>
  <w:endnote w:type="continuationSeparator" w:id="0">
    <w:p w:rsidR="007F2A9E" w:rsidRDefault="007F2A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pitch w:val="default"/>
    <w:sig w:usb0="00000000" w:usb1="00000000" w:usb2="00000010" w:usb3="00000000" w:csb0="00080000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2A9E" w:rsidRDefault="007F2A9E">
      <w:pPr>
        <w:spacing w:after="0"/>
      </w:pPr>
      <w:r>
        <w:separator/>
      </w:r>
    </w:p>
  </w:footnote>
  <w:footnote w:type="continuationSeparator" w:id="0">
    <w:p w:rsidR="007F2A9E" w:rsidRDefault="007F2A9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7A413C0"/>
    <w:multiLevelType w:val="singleLevel"/>
    <w:tmpl w:val="A7A413C0"/>
    <w:lvl w:ilvl="0">
      <w:start w:val="2024"/>
      <w:numFmt w:val="decimal"/>
      <w:suff w:val="space"/>
      <w:lvlText w:val="%1-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62C"/>
    <w:rsid w:val="002058B3"/>
    <w:rsid w:val="006B6417"/>
    <w:rsid w:val="007F2A9E"/>
    <w:rsid w:val="00CD062C"/>
    <w:rsid w:val="00D63F58"/>
    <w:rsid w:val="00DC325B"/>
    <w:rsid w:val="188A3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4C9D6"/>
  <w15:docId w15:val="{4E9C3086-024E-4592-AF22-40EB9FC1D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semiHidden/>
    <w:unhideWhenUsed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hart" Target="charts/chart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ru-RU" sz="900" b="1" i="0" u="none" strike="noStrike" kern="1200" baseline="0">
                <a:solidFill>
                  <a:schemeClr val="tx1"/>
                </a:solidFill>
                <a:latin typeface="Times New Roman" panose="02020603050405020304" charset="0"/>
                <a:ea typeface="+mn-ea"/>
                <a:cs typeface="Times New Roman" panose="02020603050405020304" charset="0"/>
              </a:defRPr>
            </a:pPr>
            <a:r>
              <a:rPr lang="ru-RU" sz="900">
                <a:latin typeface="Times New Roman" panose="02020603050405020304" charset="0"/>
                <a:cs typeface="Times New Roman" panose="02020603050405020304" charset="0"/>
              </a:rPr>
              <a:t>Количество опрошенных респондентов </a:t>
            </a:r>
            <a:br>
              <a:rPr lang="ru-RU" sz="900">
                <a:latin typeface="Times New Roman" panose="02020603050405020304" charset="0"/>
                <a:cs typeface="Times New Roman" panose="02020603050405020304" charset="0"/>
              </a:rPr>
            </a:br>
            <a:r>
              <a:rPr lang="ru-RU" sz="900">
                <a:latin typeface="Times New Roman" panose="02020603050405020304" charset="0"/>
                <a:cs typeface="Times New Roman" panose="02020603050405020304" charset="0"/>
              </a:rPr>
              <a:t>(в разрезе уровня образования)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8.0347222222222195E-2"/>
          <c:y val="0.20732158480189999"/>
          <c:w val="0.85273731408573905"/>
          <c:h val="0.6579958755155610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опрошенных респондентов (в разрезе уровня образования)</c:v>
                </c:pt>
              </c:strCache>
            </c:strRef>
          </c:tx>
          <c:invertIfNegative val="0"/>
          <c:dPt>
            <c:idx val="0"/>
            <c:invertIfNegative val="0"/>
            <c:bubble3D val="0"/>
            <c:spPr>
              <a:solidFill>
                <a:srgbClr val="00B0F0"/>
              </a:solidFill>
            </c:spPr>
            <c:extLst>
              <c:ext xmlns:c16="http://schemas.microsoft.com/office/drawing/2014/chart" uri="{C3380CC4-5D6E-409C-BE32-E72D297353CC}">
                <c16:uniqueId val="{00000001-E4FB-4ADF-8AA1-7B9E09799BB7}"/>
              </c:ext>
            </c:extLst>
          </c:dPt>
          <c:dPt>
            <c:idx val="1"/>
            <c:invertIfNegative val="0"/>
            <c:bubble3D val="0"/>
            <c:spPr>
              <a:solidFill>
                <a:srgbClr val="7030A0"/>
              </a:solidFill>
            </c:spPr>
            <c:extLst>
              <c:ext xmlns:c16="http://schemas.microsoft.com/office/drawing/2014/chart" uri="{C3380CC4-5D6E-409C-BE32-E72D297353CC}">
                <c16:uniqueId val="{00000003-E4FB-4ADF-8AA1-7B9E09799BB7}"/>
              </c:ext>
            </c:extLst>
          </c:dPt>
          <c:dLbls>
            <c:dLbl>
              <c:idx val="0"/>
              <c:layout>
                <c:manualLayout>
                  <c:x val="4.3981481481481503E-2"/>
                  <c:y val="3.9682539682540001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4FB-4ADF-8AA1-7B9E09799BB7}"/>
                </c:ext>
              </c:extLst>
            </c:dLbl>
            <c:dLbl>
              <c:idx val="1"/>
              <c:layout>
                <c:manualLayout>
                  <c:x val="2.3148148148148098E-2"/>
                  <c:y val="-7.9365079365079395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4FB-4ADF-8AA1-7B9E09799BB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1200" b="1" i="0" u="none" strike="noStrike" kern="1200" baseline="0">
                    <a:solidFill>
                      <a:schemeClr val="tx1"/>
                    </a:solidFill>
                    <a:latin typeface="Times New Roman" panose="02020603050405020304" charset="0"/>
                    <a:ea typeface="+mn-ea"/>
                    <a:cs typeface="Times New Roman" panose="02020603050405020304" charset="0"/>
                  </a:defRPr>
                </a:pPr>
                <a:endParaRPr lang="ru-RU"/>
              </a:p>
            </c:txPr>
            <c:dLblPos val="outEnd"/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Бакалавр</c:v>
                </c:pt>
                <c:pt idx="1">
                  <c:v>Магистр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108</c:v>
                </c:pt>
                <c:pt idx="1">
                  <c:v>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4FB-4ADF-8AA1-7B9E09799BB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9835648"/>
        <c:axId val="159837184"/>
      </c:barChart>
      <c:catAx>
        <c:axId val="159835648"/>
        <c:scaling>
          <c:orientation val="minMax"/>
        </c:scaling>
        <c:delete val="1"/>
        <c:axPos val="b"/>
        <c:numFmt formatCode="General" sourceLinked="0"/>
        <c:majorTickMark val="out"/>
        <c:minorTickMark val="none"/>
        <c:tickLblPos val="nextTo"/>
        <c:crossAx val="159837184"/>
        <c:crosses val="autoZero"/>
        <c:auto val="1"/>
        <c:lblAlgn val="ctr"/>
        <c:lblOffset val="100"/>
        <c:noMultiLvlLbl val="0"/>
      </c:catAx>
      <c:valAx>
        <c:axId val="15983718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1200" b="1" i="0" u="none" strike="noStrike" kern="1200" baseline="0">
                <a:solidFill>
                  <a:schemeClr val="tx1"/>
                </a:solidFill>
                <a:latin typeface="Times New Roman" panose="02020603050405020304" charset="0"/>
                <a:ea typeface="+mn-ea"/>
                <a:cs typeface="Times New Roman" panose="02020603050405020304" charset="0"/>
              </a:defRPr>
            </a:pPr>
            <a:endParaRPr lang="ru-RU"/>
          </a:p>
        </c:txPr>
        <c:crossAx val="159835648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3.9566017789442999E-2"/>
          <c:y val="0.79921295846249696"/>
          <c:w val="0.90950805628463105"/>
          <c:h val="0.198716640212975"/>
        </c:manualLayout>
      </c:layout>
      <c:overlay val="0"/>
      <c:txPr>
        <a:bodyPr rot="0" spcFirstLastPara="0" vertOverflow="ellipsis" vert="horz" wrap="square" anchor="ctr" anchorCtr="1"/>
        <a:lstStyle/>
        <a:p>
          <a:pPr>
            <a:defRPr lang="ru-RU" sz="1100" b="1" i="0" u="none" strike="noStrike" kern="1200" baseline="0">
              <a:solidFill>
                <a:schemeClr val="tx1"/>
              </a:solidFill>
              <a:latin typeface="Times New Roman" panose="02020603050405020304" charset="0"/>
              <a:ea typeface="+mn-ea"/>
              <a:cs typeface="Times New Roman" panose="02020603050405020304" charset="0"/>
            </a:defRPr>
          </a:pPr>
          <a:endParaRPr lang="ru-RU"/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f806a938-d7cd-4316-bee7-5873f037471d}"/>
      </c:ext>
    </c:extLst>
  </c:chart>
  <c:txPr>
    <a:bodyPr/>
    <a:lstStyle/>
    <a:p>
      <a:pPr>
        <a:defRPr lang="ru-RU"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7__x0430__x044f__x0432__x043b__x0435__x043d__x0438__x044f__x0020__x0441__x0442__x0443__x0434__x0435__x043d__x0442__x043e__x0432_ xmlns="1cd8b4d5-8f0e-4a0a-b8ff-c4f27ee3b795" xsi:nil="true"/>
    <_Flow_SignoffStatus xmlns="1cd8b4d5-8f0e-4a0a-b8ff-c4f27ee3b795" xsi:nil="true"/>
    <TaxCatchAll xmlns="48175e28-96f1-4deb-ac40-144de5599263" xsi:nil="true"/>
    <lcf76f155ced4ddcb4097134ff3c332f xmlns="1cd8b4d5-8f0e-4a0a-b8ff-c4f27ee3b79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97634A62DE8A84FBE03E0880EFF255C" ma:contentTypeVersion="22" ma:contentTypeDescription="Создание документа." ma:contentTypeScope="" ma:versionID="c3dfb16e99d1c17997c6d8c15d4900e3">
  <xsd:schema xmlns:xsd="http://www.w3.org/2001/XMLSchema" xmlns:xs="http://www.w3.org/2001/XMLSchema" xmlns:p="http://schemas.microsoft.com/office/2006/metadata/properties" xmlns:ns2="1cd8b4d5-8f0e-4a0a-b8ff-c4f27ee3b795" xmlns:ns3="48175e28-96f1-4deb-ac40-144de5599263" targetNamespace="http://schemas.microsoft.com/office/2006/metadata/properties" ma:root="true" ma:fieldsID="bf0e23d10926cf951fd0f2625a6a380a" ns2:_="" ns3:_="">
    <xsd:import namespace="1cd8b4d5-8f0e-4a0a-b8ff-c4f27ee3b795"/>
    <xsd:import namespace="48175e28-96f1-4deb-ac40-144de55992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_x0417__x0430__x044f__x0432__x043b__x0435__x043d__x0438__x044f__x0020__x0441__x0442__x0443__x0434__x0435__x043d__x0442__x043e__x0432_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d8b4d5-8f0e-4a0a-b8ff-c4f27ee3b7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x0417__x0430__x044f__x0432__x043b__x0435__x043d__x0438__x044f__x0020__x0441__x0442__x0443__x0434__x0435__x043d__x0442__x043e__x0432_" ma:index="15" nillable="true" ma:displayName="Заявления студентов" ma:description="Заявление студентов хранятся в бумажном виде в папке 16-10" ma:format="Dropdown" ma:internalName="_x0417__x0430__x044f__x0432__x043b__x0435__x043d__x0438__x044f__x0020__x0441__x0442__x0443__x0434__x0435__x043d__x0442__x043e__x0432_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9" nillable="true" ma:displayName="Примечание" ma:format="Dropdown" ma:internalName="_x0421__x043e__x0441__x0442__x043e__x044f__x043d__x0438__x0435__x0020__x043e__x0434__x043e__x0431__x0440__x0435__x043d__x0438__x044f_">
      <xsd:simpleType>
        <xsd:restriction base="dms:Text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0db53970-ea1c-468c-baf1-739939be45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175e28-96f1-4deb-ac40-144de559926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926a4485-a1b8-4790-b209-d613fa57ee1a}" ma:internalName="TaxCatchAll" ma:showField="CatchAllData" ma:web="48175e28-96f1-4deb-ac40-144de55992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047532-B256-49A8-A905-024EFB5A669C}">
  <ds:schemaRefs>
    <ds:schemaRef ds:uri="http://schemas.microsoft.com/office/2006/metadata/properties"/>
    <ds:schemaRef ds:uri="http://schemas.microsoft.com/office/infopath/2007/PartnerControls"/>
    <ds:schemaRef ds:uri="1cd8b4d5-8f0e-4a0a-b8ff-c4f27ee3b795"/>
    <ds:schemaRef ds:uri="48175e28-96f1-4deb-ac40-144de5599263"/>
  </ds:schemaRefs>
</ds:datastoreItem>
</file>

<file path=customXml/itemProps2.xml><?xml version="1.0" encoding="utf-8"?>
<ds:datastoreItem xmlns:ds="http://schemas.openxmlformats.org/officeDocument/2006/customXml" ds:itemID="{1DBABF81-FB57-42E4-8732-9D0B24FBA4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d8b4d5-8f0e-4a0a-b8ff-c4f27ee3b795"/>
    <ds:schemaRef ds:uri="48175e28-96f1-4deb-ac40-144de55992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89B9A5-E7C5-4967-8882-97FDBF5A7C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92</Words>
  <Characters>528</Characters>
  <Application>Microsoft Office Word</Application>
  <DocSecurity>0</DocSecurity>
  <Lines>4</Lines>
  <Paragraphs>1</Paragraphs>
  <ScaleCrop>false</ScaleCrop>
  <Company>SPecialiST RePack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Ким Алина</cp:lastModifiedBy>
  <cp:revision>3</cp:revision>
  <dcterms:created xsi:type="dcterms:W3CDTF">2024-05-29T07:20:00Z</dcterms:created>
  <dcterms:modified xsi:type="dcterms:W3CDTF">2025-11-12T12:46:00Z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0x010100097634A62DE8A84FBE03E0880EFF255C</vt:lpwstr>
  </property>
  <property fmtid="{D5CDD505-2E9C-101B-9397-08002B2CF9AE}" pid="3" name="KSOProductBuildVer">
    <vt:lpwstr>1049-12.2.0.21179</vt:lpwstr>
  </property>
  <property fmtid="{D5CDD505-2E9C-101B-9397-08002B2CF9AE}" pid="4" name="ICV">
    <vt:lpwstr>87DAD7F095A24B19B88E6CFEA9255F5E_12</vt:lpwstr>
  </property>
</Properties>
</file>